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</w:t>
      </w:r>
      <w:r>
        <w:rPr>
          <w:rFonts w:ascii="微软雅黑" w:hAnsi="微软雅黑" w:eastAsia="微软雅黑"/>
          <w:b/>
          <w:bCs/>
          <w:sz w:val="28"/>
          <w:szCs w:val="28"/>
        </w:rPr>
        <w:t>023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年执业药师《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药学专业知识一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》大纲最新变动汇总</w:t>
      </w:r>
    </w:p>
    <w:tbl>
      <w:tblPr>
        <w:tblStyle w:val="3"/>
        <w:tblW w:w="993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autofit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980"/>
        <w:gridCol w:w="2548"/>
        <w:gridCol w:w="54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章节</w:t>
            </w:r>
          </w:p>
        </w:tc>
        <w:tc>
          <w:tcPr>
            <w:tcW w:w="2548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知识点</w:t>
            </w:r>
          </w:p>
        </w:tc>
        <w:tc>
          <w:tcPr>
            <w:tcW w:w="5410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年变动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全文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vertAlign w:val="baseline"/>
                <w:lang w:val="en-US" w:eastAsia="zh-CN"/>
              </w:rPr>
              <w:t>——</w:t>
            </w:r>
            <w:bookmarkStart w:id="0" w:name="_GoBack"/>
            <w:bookmarkEnd w:id="0"/>
          </w:p>
        </w:tc>
        <w:tc>
          <w:tcPr>
            <w:tcW w:w="54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“阻断”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改为</w:t>
            </w: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“拮抗”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药物的结构与作用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药物结构与药物代谢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一、药物结构与第I相生物转化的规律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含氧的药物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3025775" cy="1240155"/>
                  <wp:effectExtent l="0" t="0" r="3175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“（</w:t>
            </w:r>
            <w:r>
              <w:rPr>
                <w:rFonts w:hint="eastAsia"/>
                <w:color w:val="FF0000"/>
                <w:lang w:val="en-US" w:eastAsia="zh-CN"/>
              </w:rPr>
              <w:t>+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color w:val="FF0000"/>
                <w:lang w:val="en-US" w:eastAsia="zh-CN"/>
              </w:rPr>
              <w:t>-（S）-美沙醇</w:t>
            </w:r>
            <w:r>
              <w:rPr>
                <w:rFonts w:hint="eastAsia"/>
                <w:color w:val="FF0000"/>
                <w:lang w:eastAsia="zh-CN"/>
              </w:rPr>
              <w:t>”</w:t>
            </w:r>
            <w:r>
              <w:rPr>
                <w:rFonts w:hint="eastAsia"/>
                <w:color w:val="FF0000"/>
                <w:lang w:val="en-US" w:eastAsia="zh-CN"/>
              </w:rPr>
              <w:t>改为</w:t>
            </w:r>
            <w:r>
              <w:rPr>
                <w:rFonts w:hint="eastAsia"/>
                <w:color w:val="FF0000"/>
                <w:lang w:eastAsia="zh-CN"/>
              </w:rPr>
              <w:t>“</w:t>
            </w:r>
            <w:r>
              <w:rPr>
                <w:rFonts w:hint="eastAsia"/>
                <w:color w:val="FF0000"/>
                <w:lang w:val="en-US" w:eastAsia="zh-CN"/>
              </w:rPr>
              <w:t>S-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+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color w:val="FF0000"/>
                <w:lang w:val="en-US" w:eastAsia="zh-CN"/>
              </w:rPr>
              <w:t>美沙酮</w:t>
            </w:r>
            <w:r>
              <w:rPr>
                <w:rFonts w:hint="eastAsia"/>
                <w:color w:val="FF0000"/>
                <w:lang w:eastAsia="zh-CN"/>
              </w:rPr>
              <w:t>”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药物的结构与作用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药物结构与毒副作用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一、药物与非靶标结合引发的毒副作用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“近年来发现一些化学结构不同的药物因</w:t>
            </w: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阻断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该通道引起</w:t>
            </w: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Q-T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间期延长甚至诱发尖端扭转型室性心动过速 (TdP) 而撤出市场。”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lang w:val="en-US" w:eastAsia="zh-CN"/>
              </w:rPr>
              <w:t>改为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“近年来发现一些化学结构不同的药物因</w:t>
            </w: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阻滞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该通道引起</w:t>
            </w: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QT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旬期延长甚至诱发尖端扭转型室性心动过速(TdP)而撤出市场。”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876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常用的药物结构与作用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内分泌系统疾病用药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一、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甾体激素类药物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肾上腺糖皮质激素构效关系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lang w:val="en-US" w:eastAsia="zh-CN"/>
              </w:rPr>
              <w:t>新增：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糖皮质激素主要与糖、脂肪、蛋白质代谢和生长发育等有密切关系，是一类重要的药物。但它仍具有一些影响水、盐代谢的作用，可使钠离子从体内排出困难而发生水肿。钠潴留被视为糖皮质激素的副作用。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lang w:val="en-US" w:eastAsia="zh-CN"/>
              </w:rPr>
              <w:drawing>
                <wp:inline distT="0" distB="0" distL="114300" distR="114300">
                  <wp:extent cx="1958340" cy="1400175"/>
                  <wp:effectExtent l="0" t="0" r="3810" b="0"/>
                  <wp:docPr id="4" name="图片 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α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-氟代氢化可的松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lang w:val="en-US" w:eastAsia="zh-CN"/>
              </w:rPr>
              <w:drawing>
                <wp:inline distT="0" distB="0" distL="114300" distR="114300">
                  <wp:extent cx="1755140" cy="1254760"/>
                  <wp:effectExtent l="0" t="0" r="6985" b="2540"/>
                  <wp:docPr id="5" name="图片 5" descr="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α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-氟代泼尼松龙</w:t>
            </w:r>
          </w:p>
          <w:p>
            <w:pPr>
              <w:spacing w:line="240" w:lineRule="auto"/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常用的药物结构与作用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内分泌系统疾病用药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降血糖药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α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-葡萄糖苷酶抑制药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更新维格列汀结构图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FF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FF0000"/>
                <w:lang w:val="en-US" w:eastAsia="zh-CN"/>
              </w:rPr>
              <w:drawing>
                <wp:inline distT="0" distB="0" distL="114300" distR="114300">
                  <wp:extent cx="1719580" cy="1869440"/>
                  <wp:effectExtent l="0" t="0" r="4445" b="6985"/>
                  <wp:docPr id="6" name="图片 6" descr="维格列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维格列汀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常用的药物结构与作用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七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抗感染药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第三代  头孢菌素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“本品属于氧头孢类，</w:t>
            </w: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4位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的一S一被一0一取代得到的化合物，另C3位甲基上引入甲基四氮唑疏基取代乙酰氧基，7位的氨基侧链上以 a-羧基-4-羟基苯乙酰基取代”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改为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“本品属于氧头孢类，</w:t>
            </w: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5位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的一S一被一0一取代得到的化合物，另C3位甲基上引入甲基四氮唑疏基取代乙酰氧基，7位的氨基侧链上以 a-羧基-4-羟基苯乙酰基取代”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常用的药物结构与作用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七</w:t>
            </w:r>
            <w:r>
              <w:rPr>
                <w:rFonts w:hint="eastAsia" w:ascii="微软雅黑" w:hAnsi="微软雅黑" w:eastAsia="微软雅黑"/>
              </w:rPr>
              <w:t xml:space="preserve">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抗感染药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酮康唑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删除</w:t>
            </w:r>
            <w:r>
              <w:rPr>
                <w:rFonts w:hint="default" w:ascii="Calibri" w:hAnsi="Calibri" w:eastAsia="微软雅黑" w:cs="Calibri"/>
                <w:color w:val="FF0000"/>
                <w:lang w:val="en-US"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适用于全身真菌感染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注射剂与临床应用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 xml:space="preserve">第一节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注射剂的基本要求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注射剂的附加剂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lang w:val="en-US" w:eastAsia="zh-CN"/>
              </w:rPr>
              <w:t>删除稳定剂内容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b/>
                <w:bCs/>
                <w:color w:val="7030A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/>
                <w:b/>
                <w:bCs/>
                <w:color w:val="7030A0"/>
              </w:rPr>
              <w:t xml:space="preserve">章 </w:t>
            </w:r>
            <w:r>
              <w:rPr>
                <w:rFonts w:ascii="微软雅黑" w:hAnsi="微软雅黑" w:eastAsia="微软雅黑"/>
                <w:b/>
                <w:bCs/>
                <w:color w:val="7030A0"/>
              </w:rPr>
              <w:t xml:space="preserve"> 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皮肤和黏膜给药途径制剂与临床应用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 xml:space="preserve">第一节 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皮肤给药制剂</w:t>
            </w:r>
          </w:p>
        </w:tc>
        <w:tc>
          <w:tcPr>
            <w:tcW w:w="2548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/>
                <w:lang w:val="en-US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六、皮肤给药的液体制剂</w:t>
            </w:r>
          </w:p>
        </w:tc>
        <w:tc>
          <w:tcPr>
            <w:tcW w:w="5410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lang w:val="en-US" w:eastAsia="zh-CN"/>
              </w:rPr>
              <w:t>新增冲洗剂内容：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5.冲洗剂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冲洗剂系指用于冲洗开放性伤口或腔体的无菌溶液</w:t>
            </w:r>
          </w:p>
          <w:p>
            <w:pPr>
              <w:spacing w:line="240" w:lineRule="auto"/>
              <w:ind w:firstLine="440" w:firstLineChars="20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lang w:val="en-US" w:eastAsia="zh-CN"/>
              </w:rPr>
              <w:t>冲洗剂在生产与贮藏期间均应符合下列有关规定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①原辅料的选择应考虑可能引起的毒性和局部刺激性②冲洗剂可由原料药物、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电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解质或等渗调节剂按无菌制剂制备。冲洗剂也可以是注射用水，但在标签中应注明供冲洗用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。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通常冲洗剂应调节至等渗。③冲洗剂在适宜条件下目测应澄清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可见异物应符合规定。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④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冲洗剂的容器应符合注射剂容器的规定。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⑤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除另有规定外，冲洗剂应严封贮存。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⑥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冲洗剂开启后应立即使用，未用完的应弃去。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⑦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除另有规定外，冲洗剂应进行装量、无菌、细菌内毒素或热原检查。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7030A0"/>
                <w:lang w:val="en-US" w:eastAsia="zh-CN"/>
              </w:rPr>
              <w:t>冲洗剂的举例：生理氯化钠溶液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  <w:t xml:space="preserve">[处方] 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氯化钠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4.5g</w:t>
            </w:r>
          </w:p>
          <w:p>
            <w:pPr>
              <w:spacing w:line="240" w:lineRule="auto"/>
              <w:ind w:firstLine="660" w:firstLineChars="30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lang w:val="en-US" w:eastAsia="zh-CN"/>
              </w:rPr>
              <w:t>注射用水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加至500ml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  <w:t>[注解]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本品为冲洗剂。本品使用前仔细检查包装，应完好无损、密封良好，内装液体应澄清，无可见微粒。如不符合，禁止使用。本品仅供一次性使用，打开包装后应尽快使用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余液废弃。如有需要，可放置于接近体温的温度下水浴或者恒温箱内加热，但不能超过45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℃。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高渗透性脱水症、低钾血症、高钠血症、高氯血症、限制钠摄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入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的患者应慎用本品。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7030A0"/>
                <w:lang w:val="en-US" w:eastAsia="zh-CN"/>
              </w:rPr>
              <w:t>[临床适应证]</w:t>
            </w:r>
            <w:r>
              <w:rPr>
                <w:rFonts w:hint="default" w:ascii="微软雅黑" w:hAnsi="微软雅黑" w:eastAsia="微软雅黑"/>
                <w:lang w:val="en-US" w:eastAsia="zh-CN"/>
              </w:rPr>
              <w:t>本品用于手术、伤口、眼部、黏膜等冲洗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。</w:t>
            </w:r>
          </w:p>
        </w:tc>
      </w:tr>
    </w:tbl>
    <w:p>
      <w:pPr>
        <w:spacing w:line="240" w:lineRule="auto"/>
        <w:rPr>
          <w:rFonts w:hint="eastAsia"/>
        </w:rPr>
      </w:pPr>
    </w:p>
    <w:sectPr>
      <w:pgSz w:w="11906" w:h="16838"/>
      <w:pgMar w:top="851" w:right="1077" w:bottom="851" w:left="1077" w:header="714" w:footer="851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MzE2MmFjYTVlZTAyZGFmZGI1Zjc4NTc1YTQyY2IifQ=="/>
  </w:docVars>
  <w:rsids>
    <w:rsidRoot w:val="007968AB"/>
    <w:rsid w:val="0002083A"/>
    <w:rsid w:val="000A4ED8"/>
    <w:rsid w:val="00272E96"/>
    <w:rsid w:val="004660A7"/>
    <w:rsid w:val="0052581A"/>
    <w:rsid w:val="00542098"/>
    <w:rsid w:val="00595730"/>
    <w:rsid w:val="005A277B"/>
    <w:rsid w:val="007968AB"/>
    <w:rsid w:val="007F7C8E"/>
    <w:rsid w:val="00927487"/>
    <w:rsid w:val="009648AD"/>
    <w:rsid w:val="00B22DD5"/>
    <w:rsid w:val="00C95EE4"/>
    <w:rsid w:val="00E54C7C"/>
    <w:rsid w:val="00FB00E0"/>
    <w:rsid w:val="01C945E9"/>
    <w:rsid w:val="08BA6D7F"/>
    <w:rsid w:val="09C8271C"/>
    <w:rsid w:val="0CAE14FB"/>
    <w:rsid w:val="25290E57"/>
    <w:rsid w:val="3CFC3D42"/>
    <w:rsid w:val="47CB0DB7"/>
    <w:rsid w:val="50EF781B"/>
    <w:rsid w:val="593B5FC6"/>
    <w:rsid w:val="5D3A3C8E"/>
    <w:rsid w:val="66F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1223</Words>
  <Characters>1261</Characters>
  <Lines>11</Lines>
  <Paragraphs>3</Paragraphs>
  <TotalTime>3</TotalTime>
  <ScaleCrop>false</ScaleCrop>
  <LinksUpToDate>false</LinksUpToDate>
  <CharactersWithSpaces>1323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2022-12-10T13:16:00Z</dcterms:created>
  <dc:creator>Administrator</dc:creator>
  <cp:lastModifiedBy>吕冰</cp:lastModifiedBy>
  <dcterms:modified xsi:type="dcterms:W3CDTF">2022-12-29T08:10:20Z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DDDD8452BC964735886D92ECDBED7888</vt:lpwstr>
  </property>
</Properties>
</file>