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【解析】镰状细胞贫血患者血红蛋白基因编码链上 A 突变为 T，因此，经过转录和翻译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 6 位氨基酸由谷氨酸转变为缬氨酸。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【解析】心肌脂肪变时，脂肪变的黄色条纹与未脂肪变的暗红色心肌相间形似虎皮斑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纹称为虎斑心。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【解析】出血性梗死常见于具有双重血液循环、组织结构疏松的器官，入肺，肠等。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【解析】肝硬化的特征性病理变化是假小叶形成。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【解析】毛果芸香碱滴眼后可引起:缩瞳降低眼内压调节痉挛。 阿托品为阻断 M 胆碱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受体的抗胆碱药，作用与毛果芸香碱相反。 其对眼的药理作用表现为:升高眼内压、扩瞳、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调节麻痹。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【解析】β-内酰胺类药物主要为头孢和青霉素①羧苄西林抗菌谱与氨苄西林相似，但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对铜绿假单胞菌及变形杆菌作用强，主要与庆大霉素合用于烧伤患者的铜绿假单胞菌感染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治疗，也用于大肠杆菌、变形杆菌引起的各种感染，但不用于伤寒;②氨苄西林是广谱半合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成青霉素，对革兰阳性菌略逊于青霉素，对革兰阴性菌，如伤寒杆菌、大肠杆菌、变形杆菌均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有效，临床主要用于伤寒、副伤寒的治疗。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【解析】肽聚糖是一类复杂的多聚体，是细菌细胞壁中的主要成分，为原核细胞所特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有。 革兰阴性菌细胞壁的特殊组分是外膜，它由脂蛋白、脂质双层和脂多糖三部分组成。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【解析】«麻醉、精神类药品处方管理规定»:麻醉药品处方至少保存 3 年。 精神药品处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方至少保存 2 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【解析】根据我国«医疗机构管理条例»实施细则第五十三条的规定:医疗机构的门诊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病历的保存期不得少于 15 年;住院病历的保存期不得少于 30 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【解析】«人体器官移植条例»第七条规定人体器官捐献应当遵循自愿、无偿的原则。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【解析】开具西药、中成药处方，每一种药品应当另起一行，每张处方不得超过 5 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药品。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【解析】容易发生冠心病的行为模式是 A 型行为，其特征为:①时间紧迫感，如同一时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间做两件事，行为急促，说话快、走路快、办事快;②脾气暴躁，容易激动;③争强好胜;④对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人有敌意等。 具有这种行为的人因经常处于忙碌状态，长期可引起高血压、动脉硬化、冠心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病等疾病。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【解析】自由联想属于精神分析治疗常用方法。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【解析】“医者仁心”是指道德是医学的本质。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【解析】临终关怀是指对临终患者及其家属提供全面的照顾和服务。 对患者要理解、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尊重、保权益，对家属要关心。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【解析】一级预防:病因预防，针对致病因素所采取的措施;二级预防:早发现、早诊断、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早治疗;三级预防:防伤残、促康复、预防并发症。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【解析】疾病的三间分布:时间、地区、人群。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【解析】病例对照研究中，选择偏倚包括入院率偏倚、错误分类偏倚、检出症</w:t>
      </w:r>
      <w:bookmarkStart w:id="0" w:name="_GoBack"/>
      <w:bookmarkEnd w:id="0"/>
      <w:r>
        <w:rPr>
          <w:sz w:val="18"/>
          <w:szCs w:val="18"/>
        </w:rPr>
        <w:t>候偏倚、无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应答偏倚、患病率及发病率偏倚。 控制方法有随机抽样、设立对照、严格诊断标准和提高应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答率。 回忆偏倚属于信息偏倚。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【解析】因为甲基汞具有脂溶性、原形蓄积和高神经毒 3 项特性。 因其具有脂溶性，所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以很容易通过血脑屏障蓄积在脑细胞内，引发神经系统疾病。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18511C97"/>
    <w:rsid w:val="1F52745E"/>
    <w:rsid w:val="2277183D"/>
    <w:rsid w:val="2831213D"/>
    <w:rsid w:val="397635AA"/>
    <w:rsid w:val="4BF64909"/>
    <w:rsid w:val="5139080C"/>
    <w:rsid w:val="5FD03D0C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2018-08-06T01:42:26Z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